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5D896" w14:textId="77777777" w:rsidR="00EB2E23" w:rsidRPr="00EF5320" w:rsidRDefault="00EB2E23" w:rsidP="00EF5320">
      <w:pPr>
        <w:spacing w:after="200" w:line="240" w:lineRule="auto"/>
        <w:jc w:val="both"/>
        <w:rPr>
          <w:rFonts w:ascii="Trebuchet MS" w:eastAsia="Calibri" w:hAnsi="Trebuchet MS" w:cs="Arial"/>
          <w:b/>
          <w:color w:val="1F3864" w:themeColor="accent5" w:themeShade="80"/>
          <w:sz w:val="24"/>
          <w:szCs w:val="24"/>
        </w:rPr>
      </w:pPr>
      <w:bookmarkStart w:id="0" w:name="_Toc457553731"/>
      <w:bookmarkStart w:id="1" w:name="_Toc458077189"/>
    </w:p>
    <w:p w14:paraId="0BA2CB23" w14:textId="77777777" w:rsidR="00386FC0" w:rsidRPr="00E37EF1" w:rsidRDefault="00386FC0" w:rsidP="00EF5320">
      <w:pPr>
        <w:spacing w:after="200" w:line="240" w:lineRule="auto"/>
        <w:jc w:val="both"/>
        <w:rPr>
          <w:rFonts w:ascii="Trebuchet MS" w:eastAsia="Calibri" w:hAnsi="Trebuchet MS" w:cs="Arial"/>
          <w:b/>
          <w:color w:val="1F3864" w:themeColor="accent5" w:themeShade="80"/>
          <w:sz w:val="24"/>
          <w:szCs w:val="24"/>
        </w:rPr>
      </w:pPr>
      <w:r w:rsidRPr="00E37EF1">
        <w:rPr>
          <w:rFonts w:ascii="Trebuchet MS" w:eastAsia="Calibri" w:hAnsi="Trebuchet MS" w:cs="Arial"/>
          <w:b/>
          <w:color w:val="1F3864" w:themeColor="accent5" w:themeShade="80"/>
          <w:sz w:val="24"/>
          <w:szCs w:val="24"/>
        </w:rPr>
        <w:t xml:space="preserve">ANEXA 1 </w:t>
      </w:r>
    </w:p>
    <w:p w14:paraId="1B83CD54" w14:textId="77777777" w:rsidR="00EF5320" w:rsidRPr="00E37EF1" w:rsidRDefault="00EF5320" w:rsidP="00EF5320">
      <w:pPr>
        <w:spacing w:after="200" w:line="240" w:lineRule="auto"/>
        <w:jc w:val="both"/>
        <w:rPr>
          <w:rFonts w:ascii="Trebuchet MS" w:hAnsi="Trebuchet MS"/>
          <w:b/>
          <w:color w:val="1F3864" w:themeColor="accent5" w:themeShade="80"/>
          <w:sz w:val="24"/>
          <w:szCs w:val="24"/>
        </w:rPr>
      </w:pPr>
    </w:p>
    <w:p w14:paraId="7F57AC9E" w14:textId="6818D3D7" w:rsidR="0031775F" w:rsidRPr="00E37EF1" w:rsidRDefault="0073297D" w:rsidP="00EF5320">
      <w:pPr>
        <w:spacing w:after="200" w:line="240" w:lineRule="auto"/>
        <w:jc w:val="both"/>
        <w:rPr>
          <w:rFonts w:ascii="Trebuchet MS" w:hAnsi="Trebuchet MS"/>
          <w:b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/>
          <w:b/>
          <w:color w:val="1F3864" w:themeColor="accent5" w:themeShade="80"/>
          <w:sz w:val="24"/>
          <w:szCs w:val="24"/>
        </w:rPr>
        <w:t>CADRUL LEGAL ȘI STRATEGIILE RELEVANTE</w:t>
      </w:r>
      <w:bookmarkEnd w:id="0"/>
      <w:bookmarkEnd w:id="1"/>
    </w:p>
    <w:p w14:paraId="61861E5C" w14:textId="77777777" w:rsidR="0073297D" w:rsidRPr="00E37EF1" w:rsidRDefault="0073297D" w:rsidP="00EF5320">
      <w:pPr>
        <w:spacing w:after="200" w:line="240" w:lineRule="auto"/>
        <w:jc w:val="both"/>
        <w:rPr>
          <w:rFonts w:ascii="Trebuchet MS" w:eastAsia="Calibri" w:hAnsi="Trebuchet MS" w:cs="Arial"/>
          <w:b/>
          <w:color w:val="1F3864" w:themeColor="accent5" w:themeShade="80"/>
          <w:sz w:val="24"/>
          <w:szCs w:val="24"/>
        </w:rPr>
      </w:pPr>
    </w:p>
    <w:p w14:paraId="71479E17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Strategia Națională pentru Învățământ Terțiar 2015-2020</w:t>
      </w:r>
    </w:p>
    <w:p w14:paraId="6388BD0F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http://www.edu.ro/index.php/resurse/23345</w:t>
      </w:r>
    </w:p>
    <w:p w14:paraId="0FC9C716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Strategia Națională pentru Competitivitate 2014-2020</w:t>
      </w:r>
    </w:p>
    <w:p w14:paraId="4AE75A47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http://www.minind.ro/%5C/strategie_competitivitate/index.html</w:t>
      </w:r>
    </w:p>
    <w:p w14:paraId="287F33FB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Strategia Națională pentru Cercetare  Dezvoltare Inovare 2014-2020</w:t>
      </w:r>
    </w:p>
    <w:p w14:paraId="32F9E406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http://www.research.ro/uploads/politici-cd/strategia-cdi-2014-2020/strategia-cdi-2020_-proiect-hg.pdf </w:t>
      </w:r>
    </w:p>
    <w:p w14:paraId="37AD8ABA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Strategia Națională pentru Ocuparea Forței de Muncă  2014-2020</w:t>
      </w:r>
    </w:p>
    <w:p w14:paraId="17AFE587" w14:textId="77777777" w:rsidR="007844D4" w:rsidRPr="00E37EF1" w:rsidRDefault="001E6667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hyperlink r:id="rId7" w:history="1">
        <w:r w:rsidR="007844D4" w:rsidRPr="00E37EF1">
          <w:rPr>
            <w:rFonts w:ascii="Trebuchet MS" w:hAnsi="Trebuchet MS"/>
            <w:color w:val="1F3864" w:themeColor="accent5" w:themeShade="80"/>
            <w:sz w:val="24"/>
            <w:szCs w:val="24"/>
          </w:rPr>
          <w:t>http://www.mmuncii.ro/j33/images/Documente/Munca/2014-DOES/2014-01-31_Anexa1_Strategia_de_Ocupare.pdf</w:t>
        </w:r>
      </w:hyperlink>
    </w:p>
    <w:p w14:paraId="52052B5B" w14:textId="77777777" w:rsidR="007844D4" w:rsidRPr="00E37EF1" w:rsidRDefault="007844D4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Strategia Națională pentru Învățare pe tot Parcursul Vieții</w:t>
      </w:r>
    </w:p>
    <w:p w14:paraId="30CFD807" w14:textId="63B505A6" w:rsidR="007844D4" w:rsidRPr="00E37EF1" w:rsidRDefault="001E6667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hyperlink r:id="rId8" w:history="1">
        <w:r w:rsidR="0073297D" w:rsidRPr="00E37EF1">
          <w:rPr>
            <w:rStyle w:val="Hyperlink"/>
            <w:rFonts w:ascii="Trebuchet MS" w:hAnsi="Trebuchet MS" w:cs="Times New Roman"/>
            <w:color w:val="1F3864" w:themeColor="accent5" w:themeShade="80"/>
            <w:sz w:val="24"/>
            <w:szCs w:val="24"/>
          </w:rPr>
          <w:t>http://www.edu.ro/index.php/articles/23305</w:t>
        </w:r>
      </w:hyperlink>
    </w:p>
    <w:p w14:paraId="68967994" w14:textId="193E95D9" w:rsidR="0073297D" w:rsidRPr="00E37EF1" w:rsidRDefault="0073297D" w:rsidP="00EF532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Trebuchet MS" w:hAnsi="Trebuchet MS" w:cs="Times New Roman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LEGE</w:t>
      </w:r>
      <w:r w:rsidR="00E22158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A</w:t>
      </w: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   Nr. 1 din  2</w:t>
      </w:r>
      <w:r w:rsidR="009054F2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011,  Legea </w:t>
      </w:r>
      <w:r w:rsidR="00EF5320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educației</w:t>
      </w:r>
      <w:r w:rsidR="009054F2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 </w:t>
      </w:r>
      <w:r w:rsidR="00EF5320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naționale</w:t>
      </w:r>
      <w:r w:rsidR="009054F2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, cu modificările și completările ulterioare</w:t>
      </w:r>
    </w:p>
    <w:p w14:paraId="2AD6C4A4" w14:textId="5E514A0B" w:rsidR="00EB2E23" w:rsidRPr="00E37EF1" w:rsidRDefault="00DD766A" w:rsidP="00EF532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rebuchet MS" w:hAnsi="Trebuchet MS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OMEC</w:t>
      </w:r>
      <w:r w:rsidR="00EE5FA8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 5376/2017 privind aprobarea domeniilor </w:t>
      </w:r>
      <w:r w:rsidR="00EF5320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ș</w:t>
      </w:r>
      <w:r w:rsidR="00EE5FA8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i </w:t>
      </w:r>
      <w:r w:rsidR="00EF5320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specializărilor</w:t>
      </w:r>
      <w:r w:rsidR="00EE5FA8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/programelor de studii universitare corelate cu sectoarele economice cu </w:t>
      </w:r>
      <w:r w:rsidR="00EF5320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potențial</w:t>
      </w:r>
      <w:r w:rsidR="00EE5FA8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 de </w:t>
      </w:r>
      <w:r w:rsidR="00EF5320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>creștere</w:t>
      </w:r>
      <w:r w:rsidR="00EE5FA8" w:rsidRPr="00E37EF1">
        <w:rPr>
          <w:rFonts w:ascii="Trebuchet MS" w:hAnsi="Trebuchet MS" w:cs="Times New Roman"/>
          <w:color w:val="1F3864" w:themeColor="accent5" w:themeShade="80"/>
          <w:sz w:val="24"/>
          <w:szCs w:val="24"/>
        </w:rPr>
        <w:t xml:space="preserve"> in Romania</w:t>
      </w:r>
    </w:p>
    <w:p w14:paraId="6F7182FE" w14:textId="04E3CCF3" w:rsidR="00DD766A" w:rsidRPr="00E37EF1" w:rsidRDefault="00A00513" w:rsidP="00EF5320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rebuchet MS" w:hAnsi="Trebuchet MS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/>
          <w:color w:val="1F3864" w:themeColor="accent5" w:themeShade="80"/>
          <w:sz w:val="24"/>
          <w:szCs w:val="24"/>
        </w:rPr>
        <w:t>Legea nr. 288/2004 privind organizarea studiilor universitare</w:t>
      </w:r>
    </w:p>
    <w:p w14:paraId="5C9DB6A2" w14:textId="5F52F307" w:rsidR="00DD766A" w:rsidRPr="00E37EF1" w:rsidRDefault="00E37EF1" w:rsidP="00E37EF1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rebuchet MS" w:hAnsi="Trebuchet MS"/>
          <w:color w:val="1F3864" w:themeColor="accent5" w:themeShade="80"/>
          <w:sz w:val="24"/>
          <w:szCs w:val="24"/>
        </w:rPr>
      </w:pPr>
      <w:r w:rsidRPr="00E37EF1">
        <w:rPr>
          <w:rFonts w:ascii="Trebuchet MS" w:hAnsi="Trebuchet MS" w:cstheme="minorHAnsi"/>
          <w:color w:val="1F3864" w:themeColor="accent5" w:themeShade="80"/>
          <w:sz w:val="24"/>
          <w:szCs w:val="24"/>
        </w:rPr>
        <w:t>Ordinul ministrului educației și cercetării nr. 4524/2020 privind înființarea și dezvoltarea programelor universitare de master didactic</w:t>
      </w:r>
      <w:bookmarkStart w:id="2" w:name="_GoBack"/>
      <w:bookmarkEnd w:id="2"/>
    </w:p>
    <w:sectPr w:rsidR="00DD766A" w:rsidRPr="00E37EF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5104E" w14:textId="77777777" w:rsidR="00D8688C" w:rsidRDefault="00D8688C" w:rsidP="00EF5320">
      <w:pPr>
        <w:spacing w:after="0" w:line="240" w:lineRule="auto"/>
      </w:pPr>
      <w:r>
        <w:separator/>
      </w:r>
    </w:p>
  </w:endnote>
  <w:endnote w:type="continuationSeparator" w:id="0">
    <w:p w14:paraId="0B1594F6" w14:textId="77777777" w:rsidR="00D8688C" w:rsidRDefault="00D8688C" w:rsidP="00EF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8F406" w14:textId="77777777" w:rsidR="00D8688C" w:rsidRDefault="00D8688C" w:rsidP="00EF5320">
      <w:pPr>
        <w:spacing w:after="0" w:line="240" w:lineRule="auto"/>
      </w:pPr>
      <w:r>
        <w:separator/>
      </w:r>
    </w:p>
  </w:footnote>
  <w:footnote w:type="continuationSeparator" w:id="0">
    <w:p w14:paraId="2B80FD3B" w14:textId="77777777" w:rsidR="00D8688C" w:rsidRDefault="00D8688C" w:rsidP="00EF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14:paraId="5A129783" w14:textId="366678F0" w:rsidR="00EF5320" w:rsidRDefault="00EF532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E37EF1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E37EF1"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A0F8369" w14:textId="77777777" w:rsidR="00EF5320" w:rsidRDefault="00EF53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77F1"/>
    <w:multiLevelType w:val="hybridMultilevel"/>
    <w:tmpl w:val="663464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82BEF"/>
    <w:multiLevelType w:val="hybridMultilevel"/>
    <w:tmpl w:val="4EB612FE"/>
    <w:lvl w:ilvl="0" w:tplc="4BF8E4A4">
      <w:start w:val="1"/>
      <w:numFmt w:val="bullet"/>
      <w:lvlText w:val="-"/>
      <w:lvlJc w:val="left"/>
      <w:pPr>
        <w:ind w:left="720" w:hanging="360"/>
      </w:pPr>
      <w:rPr>
        <w:rFonts w:ascii="Stencil" w:hAnsi="Stenci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7509A"/>
    <w:multiLevelType w:val="hybridMultilevel"/>
    <w:tmpl w:val="F6803C7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53F53"/>
    <w:multiLevelType w:val="hybridMultilevel"/>
    <w:tmpl w:val="256E42E0"/>
    <w:lvl w:ilvl="0" w:tplc="D9DA4144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BC3C90"/>
    <w:multiLevelType w:val="hybridMultilevel"/>
    <w:tmpl w:val="2B02760A"/>
    <w:lvl w:ilvl="0" w:tplc="146014B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4609A"/>
    <w:multiLevelType w:val="hybridMultilevel"/>
    <w:tmpl w:val="805CBC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05EE3"/>
    <w:multiLevelType w:val="hybridMultilevel"/>
    <w:tmpl w:val="D37CEE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75F"/>
    <w:rsid w:val="000473C0"/>
    <w:rsid w:val="002854F7"/>
    <w:rsid w:val="00316881"/>
    <w:rsid w:val="0031775F"/>
    <w:rsid w:val="00374A95"/>
    <w:rsid w:val="00386FC0"/>
    <w:rsid w:val="003A1313"/>
    <w:rsid w:val="004B4A4A"/>
    <w:rsid w:val="005E4869"/>
    <w:rsid w:val="00611E6B"/>
    <w:rsid w:val="00631164"/>
    <w:rsid w:val="00670B79"/>
    <w:rsid w:val="0073297D"/>
    <w:rsid w:val="007844D4"/>
    <w:rsid w:val="007D4279"/>
    <w:rsid w:val="008E1804"/>
    <w:rsid w:val="008E56C4"/>
    <w:rsid w:val="009054F2"/>
    <w:rsid w:val="00A00513"/>
    <w:rsid w:val="00A15B04"/>
    <w:rsid w:val="00A20EA4"/>
    <w:rsid w:val="00B115EA"/>
    <w:rsid w:val="00B700BE"/>
    <w:rsid w:val="00BD7646"/>
    <w:rsid w:val="00C07BA2"/>
    <w:rsid w:val="00D8688C"/>
    <w:rsid w:val="00DD766A"/>
    <w:rsid w:val="00E22158"/>
    <w:rsid w:val="00E37EF1"/>
    <w:rsid w:val="00E75EDD"/>
    <w:rsid w:val="00EB2E23"/>
    <w:rsid w:val="00EE5FA8"/>
    <w:rsid w:val="00E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17242"/>
  <w15:chartTrackingRefBased/>
  <w15:docId w15:val="{6D207769-1FFB-48E2-A84B-4A60C7E3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75F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Outlines a.b.c.,Akapit z listą BS,List_Paragraph,Multilevel para_II,Odstavec_muj,WB Para,bu"/>
    <w:basedOn w:val="Normal"/>
    <w:link w:val="ListParagraphChar"/>
    <w:uiPriority w:val="34"/>
    <w:qFormat/>
    <w:rsid w:val="0031775F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Outlines a.b.c. Char,List_Paragraph Char"/>
    <w:link w:val="ListParagraph"/>
    <w:uiPriority w:val="34"/>
    <w:qFormat/>
    <w:rsid w:val="0031775F"/>
    <w:rPr>
      <w:lang w:val="ro-RO"/>
    </w:rPr>
  </w:style>
  <w:style w:type="character" w:styleId="Hyperlink">
    <w:name w:val="Hyperlink"/>
    <w:basedOn w:val="DefaultParagraphFont"/>
    <w:uiPriority w:val="99"/>
    <w:unhideWhenUsed/>
    <w:rsid w:val="007844D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5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320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EF53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320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0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o/index.php/articles/233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muncii.ro/j33/images/Documente/Munca/2014-DOES/2014-01-31_Anexa1_Strategia_de_Ocupar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daniel.chitoi</cp:lastModifiedBy>
  <cp:revision>15</cp:revision>
  <dcterms:created xsi:type="dcterms:W3CDTF">2020-06-12T06:55:00Z</dcterms:created>
  <dcterms:modified xsi:type="dcterms:W3CDTF">2020-06-22T12:03:00Z</dcterms:modified>
</cp:coreProperties>
</file>